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DB530" w14:textId="3447AFE2" w:rsidR="00EC3E89" w:rsidRPr="00EC3E89" w:rsidRDefault="00EC3E89" w:rsidP="00EC3E89">
      <w:pPr>
        <w:pStyle w:val="Heading1"/>
      </w:pPr>
      <w:r w:rsidRPr="00EC3E89">
        <w:t>Activities by Functional Domain and Age Group</w:t>
      </w:r>
    </w:p>
    <w:p w14:paraId="4206DC52" w14:textId="083E0CF0" w:rsidR="00153FD4" w:rsidRPr="000E514B" w:rsidRDefault="00483FAB" w:rsidP="00417DB2">
      <w:pPr>
        <w:pStyle w:val="Subtitle"/>
      </w:pPr>
      <w:r>
        <w:t>Functional Equivalence</w:t>
      </w:r>
    </w:p>
    <w:p w14:paraId="1C3F1BB2" w14:textId="659C8E07" w:rsidR="001101C1" w:rsidRPr="002551F2" w:rsidRDefault="002551F2" w:rsidP="003972ED">
      <w:pPr>
        <w:pStyle w:val="Abstract"/>
        <w:spacing w:before="240" w:after="240"/>
      </w:pPr>
      <w:r w:rsidRPr="002551F2">
        <w:t xml:space="preserve">These activities and others are outlined in </w:t>
      </w:r>
      <w:hyperlink r:id="rId11" w:history="1">
        <w:r w:rsidRPr="002551F2">
          <w:rPr>
            <w:rStyle w:val="Hyperlink"/>
          </w:rPr>
          <w:t>20 C.F.R. 416.926a</w:t>
        </w:r>
      </w:hyperlink>
      <w:r w:rsidRPr="002551F2">
        <w:t>: Functional Equivalence for children. These examples illustrate what a child should be able to do given their age in each domain (except Health and Physical Well-being</w:t>
      </w:r>
      <w:r w:rsidR="002E67CE">
        <w:t>, which is not age-dependent</w:t>
      </w:r>
      <w:r w:rsidRPr="002551F2">
        <w:t xml:space="preserve">). These examples will also help you ask the parent, caregiver, or child questions about each of these activities and assess what evidence is available and what must be obtained. </w:t>
      </w:r>
    </w:p>
    <w:p w14:paraId="3C163057" w14:textId="691900D8" w:rsidR="001101C1" w:rsidRPr="00C23877" w:rsidRDefault="003972ED" w:rsidP="00C23877">
      <w:pPr>
        <w:pStyle w:val="Heading2"/>
      </w:pPr>
      <w:r>
        <w:t>Functional Domain Activities</w:t>
      </w:r>
    </w:p>
    <w:p w14:paraId="2748F635" w14:textId="24EAF8AE" w:rsidR="0058761C" w:rsidRDefault="0058761C" w:rsidP="00483FAB">
      <w:pPr>
        <w:spacing w:before="0" w:after="0"/>
      </w:pPr>
    </w:p>
    <w:tbl>
      <w:tblPr>
        <w:tblStyle w:val="SOARTableStyle1"/>
        <w:tblW w:w="14405" w:type="dxa"/>
        <w:jc w:val="center"/>
        <w:tblLook w:val="04A0" w:firstRow="1" w:lastRow="0" w:firstColumn="1" w:lastColumn="0" w:noHBand="0" w:noVBand="1"/>
      </w:tblPr>
      <w:tblGrid>
        <w:gridCol w:w="1613"/>
        <w:gridCol w:w="2135"/>
        <w:gridCol w:w="2132"/>
        <w:gridCol w:w="2129"/>
        <w:gridCol w:w="2126"/>
        <w:gridCol w:w="2135"/>
        <w:gridCol w:w="2135"/>
      </w:tblGrid>
      <w:tr w:rsidR="00495182" w14:paraId="1477344B" w14:textId="6D9848B4" w:rsidTr="004951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351A06C7" w14:textId="2B277D89" w:rsidR="002B2068" w:rsidRDefault="002B2068" w:rsidP="008F2ED9">
            <w:pPr>
              <w:pStyle w:val="ColumnHeading"/>
              <w:jc w:val="left"/>
            </w:pPr>
            <w:r>
              <w:t>Domain</w:t>
            </w:r>
          </w:p>
        </w:tc>
        <w:tc>
          <w:tcPr>
            <w:tcW w:w="2160" w:type="dxa"/>
          </w:tcPr>
          <w:p w14:paraId="4282CA9F" w14:textId="211DF590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General</w:t>
            </w:r>
          </w:p>
        </w:tc>
        <w:tc>
          <w:tcPr>
            <w:tcW w:w="2160" w:type="dxa"/>
          </w:tcPr>
          <w:p w14:paraId="2EA416CC" w14:textId="58D13DBC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Newborn to Young Infant (birth-</w:t>
            </w:r>
            <w:proofErr w:type="gramStart"/>
            <w:r>
              <w:t>1 )</w:t>
            </w:r>
            <w:proofErr w:type="gramEnd"/>
          </w:p>
        </w:tc>
        <w:tc>
          <w:tcPr>
            <w:tcW w:w="2160" w:type="dxa"/>
          </w:tcPr>
          <w:p w14:paraId="680B4C33" w14:textId="08FC9A4B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Older Infants and Toddlers (1-3)</w:t>
            </w:r>
          </w:p>
        </w:tc>
        <w:tc>
          <w:tcPr>
            <w:tcW w:w="2160" w:type="dxa"/>
          </w:tcPr>
          <w:p w14:paraId="3C2F72B9" w14:textId="75A4D59C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Preschool (3-6)</w:t>
            </w:r>
          </w:p>
        </w:tc>
        <w:tc>
          <w:tcPr>
            <w:tcW w:w="2160" w:type="dxa"/>
          </w:tcPr>
          <w:p w14:paraId="6C3831C4" w14:textId="4FA3BA9B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School Age (6-12)</w:t>
            </w:r>
          </w:p>
        </w:tc>
        <w:tc>
          <w:tcPr>
            <w:tcW w:w="2160" w:type="dxa"/>
          </w:tcPr>
          <w:p w14:paraId="062A262B" w14:textId="196F4DAB" w:rsidR="002B2068" w:rsidRDefault="002B2068" w:rsidP="002B2068">
            <w:pPr>
              <w:pStyle w:val="Column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Young to Older </w:t>
            </w:r>
            <w:r w:rsidR="00603CB6">
              <w:t>Adolescents</w:t>
            </w:r>
            <w:r>
              <w:t xml:space="preserve"> (12-18)</w:t>
            </w:r>
          </w:p>
        </w:tc>
      </w:tr>
      <w:tr w:rsidR="00495182" w14:paraId="6B16D3A7" w14:textId="78B5BFEF" w:rsidTr="004951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3C1DED13" w14:textId="339E1D63" w:rsidR="00EA42E3" w:rsidRDefault="00EA42E3" w:rsidP="00EA42E3">
            <w:pPr>
              <w:pStyle w:val="RowHeading"/>
              <w:jc w:val="left"/>
            </w:pPr>
            <w:r w:rsidRPr="004D14C8">
              <w:t>Acquiring and Using Information</w:t>
            </w:r>
          </w:p>
        </w:tc>
        <w:tc>
          <w:tcPr>
            <w:tcW w:w="2160" w:type="dxa"/>
          </w:tcPr>
          <w:p w14:paraId="631CC4D9" w14:textId="51AAB467" w:rsidR="00EA42E3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Learning concepts and symbols through play</w:t>
            </w:r>
          </w:p>
        </w:tc>
        <w:tc>
          <w:tcPr>
            <w:tcW w:w="2160" w:type="dxa"/>
          </w:tcPr>
          <w:p w14:paraId="61B89597" w14:textId="1E3DE145" w:rsidR="00EA42E3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Exploring </w:t>
            </w:r>
            <w:r w:rsidR="00603CB6">
              <w:t xml:space="preserve">the </w:t>
            </w:r>
            <w:r>
              <w:t>environment; recognition of familiar sights and sounds</w:t>
            </w:r>
          </w:p>
        </w:tc>
        <w:tc>
          <w:tcPr>
            <w:tcW w:w="2160" w:type="dxa"/>
          </w:tcPr>
          <w:p w14:paraId="014FBD1E" w14:textId="62B05E8D" w:rsidR="00EA42E3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Learning how objects go together in different ways; forming concepts; solving simple problems</w:t>
            </w:r>
          </w:p>
        </w:tc>
        <w:tc>
          <w:tcPr>
            <w:tcW w:w="2160" w:type="dxa"/>
          </w:tcPr>
          <w:p w14:paraId="5F15A4AA" w14:textId="7078AD81" w:rsidR="00EA42E3" w:rsidRPr="002E241A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Learning to use skills leading to reading and writing, listening, and coloring; using words to ask questions; giving answers</w:t>
            </w:r>
          </w:p>
        </w:tc>
        <w:tc>
          <w:tcPr>
            <w:tcW w:w="2160" w:type="dxa"/>
          </w:tcPr>
          <w:p w14:paraId="22C6FDD9" w14:textId="58FE8CA7" w:rsidR="00EA42E3" w:rsidRPr="002E241A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Learning to read, write, do math, discuss history and science; doing group work; </w:t>
            </w:r>
            <w:proofErr w:type="gramStart"/>
            <w:r>
              <w:t>entering into</w:t>
            </w:r>
            <w:proofErr w:type="gramEnd"/>
            <w:r>
              <w:t xml:space="preserve"> class discussions; using complex language</w:t>
            </w:r>
          </w:p>
        </w:tc>
        <w:tc>
          <w:tcPr>
            <w:tcW w:w="2160" w:type="dxa"/>
          </w:tcPr>
          <w:p w14:paraId="6F91354C" w14:textId="0C2057E4" w:rsidR="00EA42E3" w:rsidRPr="002E241A" w:rsidRDefault="00EA42E3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Using what has been learned in daily living; understanding and knowing simple and complex ideas; </w:t>
            </w:r>
            <w:r w:rsidR="00603CB6">
              <w:t xml:space="preserve">and </w:t>
            </w:r>
            <w:r>
              <w:t>applying skills in practical ways</w:t>
            </w:r>
          </w:p>
        </w:tc>
      </w:tr>
      <w:tr w:rsidR="00FC07F4" w14:paraId="23EF30F2" w14:textId="6281EB0E" w:rsidTr="004951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65C2B0DE" w14:textId="759CAA30" w:rsidR="00FC07F4" w:rsidRDefault="00FC07F4" w:rsidP="00FC07F4">
            <w:pPr>
              <w:pStyle w:val="RowHeading"/>
              <w:jc w:val="left"/>
            </w:pPr>
            <w:r w:rsidRPr="004D14C8">
              <w:t>Attending and Completing Tasks</w:t>
            </w:r>
          </w:p>
        </w:tc>
        <w:tc>
          <w:tcPr>
            <w:tcW w:w="2160" w:type="dxa"/>
          </w:tcPr>
          <w:p w14:paraId="56CF8C4E" w14:textId="77777777" w:rsidR="00FC07F4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Regulating, initiating, and maintaining levels of alertness and concentration; looking ahead and predicting possible outcomes of actions </w:t>
            </w:r>
          </w:p>
          <w:p w14:paraId="0D088F7A" w14:textId="77777777" w:rsidR="00603CB6" w:rsidRDefault="00603CB6" w:rsidP="00900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9081C1F" w14:textId="09539281" w:rsidR="00495182" w:rsidRPr="00603CB6" w:rsidRDefault="00495182" w:rsidP="00900F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60" w:type="dxa"/>
          </w:tcPr>
          <w:p w14:paraId="472BCB8B" w14:textId="28603BC8" w:rsidR="00FC07F4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Responding to various external stimuli such as light, sound, touch, and temperature</w:t>
            </w:r>
          </w:p>
        </w:tc>
        <w:tc>
          <w:tcPr>
            <w:tcW w:w="2160" w:type="dxa"/>
          </w:tcPr>
          <w:p w14:paraId="762C7E1E" w14:textId="17200C05" w:rsidR="00FC07F4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Showing sustained attention (e.g. looking at picture books, building with blocks) </w:t>
            </w:r>
          </w:p>
        </w:tc>
        <w:tc>
          <w:tcPr>
            <w:tcW w:w="2160" w:type="dxa"/>
          </w:tcPr>
          <w:p w14:paraId="58A2FA4A" w14:textId="47C606A9" w:rsidR="00FC07F4" w:rsidRPr="002E241A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Paying attention when spoken to directly; </w:t>
            </w:r>
            <w:r w:rsidR="00603CB6">
              <w:t>sustaining</w:t>
            </w:r>
            <w:r>
              <w:t xml:space="preserve"> play; performing self-care activities, (e.g. dressing and feeding)</w:t>
            </w:r>
          </w:p>
        </w:tc>
        <w:tc>
          <w:tcPr>
            <w:tcW w:w="2160" w:type="dxa"/>
          </w:tcPr>
          <w:p w14:paraId="4E341072" w14:textId="368D59D4" w:rsidR="00FC07F4" w:rsidRPr="002E241A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Focusing attention on a variety of situations; following directions; remembering and organizing school materials; changing activities or routines without distraction</w:t>
            </w:r>
          </w:p>
        </w:tc>
        <w:tc>
          <w:tcPr>
            <w:tcW w:w="2160" w:type="dxa"/>
          </w:tcPr>
          <w:p w14:paraId="2D235094" w14:textId="67BBE7DD" w:rsidR="00FC07F4" w:rsidRPr="002E241A" w:rsidRDefault="00FC07F4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Independent planning; preparing and completing long-range projects; organizing time and tasks; maintaining attention for extended periods of time</w:t>
            </w:r>
          </w:p>
        </w:tc>
      </w:tr>
      <w:tr w:rsidR="00495182" w14:paraId="641766FA" w14:textId="36D85995" w:rsidTr="004951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2A358B0F" w14:textId="44BB34FD" w:rsidR="00FC07F4" w:rsidRDefault="00FC07F4" w:rsidP="00FC07F4">
            <w:pPr>
              <w:pStyle w:val="RowHeading"/>
              <w:jc w:val="left"/>
            </w:pPr>
            <w:r w:rsidRPr="004D14C8">
              <w:t>Interacting and Relating with Others</w:t>
            </w:r>
          </w:p>
        </w:tc>
        <w:tc>
          <w:tcPr>
            <w:tcW w:w="2160" w:type="dxa"/>
          </w:tcPr>
          <w:p w14:paraId="63247B70" w14:textId="56D28451" w:rsidR="00FC07F4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Initiating and responding to exchanges with </w:t>
            </w:r>
            <w:r>
              <w:lastRenderedPageBreak/>
              <w:t>other people; forming relationships with others</w:t>
            </w:r>
          </w:p>
        </w:tc>
        <w:tc>
          <w:tcPr>
            <w:tcW w:w="2160" w:type="dxa"/>
          </w:tcPr>
          <w:p w14:paraId="09A07259" w14:textId="02236177" w:rsidR="00FC07F4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Responding visually and vocally to </w:t>
            </w:r>
            <w:r w:rsidR="0028476A">
              <w:t>caregiver</w:t>
            </w:r>
            <w:r>
              <w:t xml:space="preserve">(s); </w:t>
            </w:r>
            <w:r>
              <w:lastRenderedPageBreak/>
              <w:t>responding to a variety of emotions</w:t>
            </w:r>
          </w:p>
        </w:tc>
        <w:tc>
          <w:tcPr>
            <w:tcW w:w="2160" w:type="dxa"/>
          </w:tcPr>
          <w:p w14:paraId="6B4F8111" w14:textId="225ECC74" w:rsidR="00FC07F4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Expressing emotions and responding to </w:t>
            </w:r>
            <w:r w:rsidR="0028476A">
              <w:t xml:space="preserve">the </w:t>
            </w:r>
            <w:r>
              <w:t xml:space="preserve">feelings of </w:t>
            </w:r>
            <w:r>
              <w:lastRenderedPageBreak/>
              <w:t>others; beginning to initiate and maintain relationships with adults</w:t>
            </w:r>
          </w:p>
        </w:tc>
        <w:tc>
          <w:tcPr>
            <w:tcW w:w="2160" w:type="dxa"/>
          </w:tcPr>
          <w:p w14:paraId="7ABC3B6C" w14:textId="734FAFAC" w:rsidR="00FC07F4" w:rsidRPr="002E241A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Socializing with children as well as adults; using words </w:t>
            </w:r>
            <w:r>
              <w:lastRenderedPageBreak/>
              <w:t>instead of actions to express yourself</w:t>
            </w:r>
          </w:p>
        </w:tc>
        <w:tc>
          <w:tcPr>
            <w:tcW w:w="2160" w:type="dxa"/>
          </w:tcPr>
          <w:p w14:paraId="51DF976D" w14:textId="53134980" w:rsidR="00FC07F4" w:rsidRPr="002E241A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Developing lasting friendships; working in groups to create </w:t>
            </w:r>
            <w:r>
              <w:lastRenderedPageBreak/>
              <w:t xml:space="preserve">projects and solve problems </w:t>
            </w:r>
          </w:p>
        </w:tc>
        <w:tc>
          <w:tcPr>
            <w:tcW w:w="2160" w:type="dxa"/>
          </w:tcPr>
          <w:p w14:paraId="24F1678C" w14:textId="25F7A29F" w:rsidR="00FC07F4" w:rsidRPr="002E241A" w:rsidRDefault="00FC07F4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lastRenderedPageBreak/>
              <w:t xml:space="preserve">Initiating and developing friendships with </w:t>
            </w:r>
            <w:r>
              <w:lastRenderedPageBreak/>
              <w:t>peers and relating to children and adults; intelligently expressing feelings and asking for assistance to meet needs in all types of settings</w:t>
            </w:r>
          </w:p>
        </w:tc>
      </w:tr>
      <w:tr w:rsidR="00A7251C" w14:paraId="6E982EB7" w14:textId="77777777" w:rsidTr="004951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68633EAF" w14:textId="313F5F09" w:rsidR="00A7251C" w:rsidRPr="002E241A" w:rsidRDefault="00A7251C" w:rsidP="00A7251C">
            <w:pPr>
              <w:pStyle w:val="RowHeading"/>
              <w:jc w:val="left"/>
            </w:pPr>
            <w:r>
              <w:lastRenderedPageBreak/>
              <w:t>Moving About and Manipulating Objects</w:t>
            </w:r>
          </w:p>
        </w:tc>
        <w:tc>
          <w:tcPr>
            <w:tcW w:w="2160" w:type="dxa"/>
          </w:tcPr>
          <w:p w14:paraId="42689ECF" w14:textId="2F4BA82B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Multiple bodily actions, including rolling, rising to stand, raising head, arms, legs, and transferring self from one surface to another; moving through space; carrying, handling, and working with a variety of objects</w:t>
            </w:r>
          </w:p>
        </w:tc>
        <w:tc>
          <w:tcPr>
            <w:tcW w:w="2160" w:type="dxa"/>
          </w:tcPr>
          <w:p w14:paraId="42A13FDE" w14:textId="047F3CC3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Moving body and limbs; holding head up, learning to sit, stand, and crawl; beginning eye-hand control</w:t>
            </w:r>
          </w:p>
        </w:tc>
        <w:tc>
          <w:tcPr>
            <w:tcW w:w="2160" w:type="dxa"/>
          </w:tcPr>
          <w:p w14:paraId="3F1C0B3B" w14:textId="06C79D67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Beginning to actively explore </w:t>
            </w:r>
            <w:r w:rsidR="0028476A">
              <w:t xml:space="preserve">the </w:t>
            </w:r>
            <w:r>
              <w:t>wider area of immediate space; beginning to walk and run; trying to handle small objects</w:t>
            </w:r>
          </w:p>
        </w:tc>
        <w:tc>
          <w:tcPr>
            <w:tcW w:w="2160" w:type="dxa"/>
          </w:tcPr>
          <w:p w14:paraId="31E79945" w14:textId="6C1DDDA6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Walking and running with ease; using gross-motor skills (e.g. climbing) with little supervision; completing puzzles, stringing beads, and building with blocks; increasing control of crayons</w:t>
            </w:r>
          </w:p>
        </w:tc>
        <w:tc>
          <w:tcPr>
            <w:tcW w:w="2160" w:type="dxa"/>
          </w:tcPr>
          <w:p w14:paraId="1CEFC6CF" w14:textId="50CD1F77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Increasing strength and coordination; enjoying physical activities; running, jumping, throwing, kicking, and catching; using kitchen and other small tools independently</w:t>
            </w:r>
          </w:p>
        </w:tc>
        <w:tc>
          <w:tcPr>
            <w:tcW w:w="2160" w:type="dxa"/>
          </w:tcPr>
          <w:p w14:paraId="35AAA567" w14:textId="683D034D" w:rsidR="00A7251C" w:rsidRPr="002E241A" w:rsidRDefault="00A7251C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Participating in a full range of individual and group physical fitness activities; mature eye-hand coordination skills; fine motor skills to write legibly or using a keyboard</w:t>
            </w:r>
          </w:p>
        </w:tc>
      </w:tr>
      <w:tr w:rsidR="00495182" w14:paraId="1294888E" w14:textId="77777777" w:rsidTr="004951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114089CF" w14:textId="672DBC2D" w:rsidR="00A7251C" w:rsidRPr="002E241A" w:rsidRDefault="00A7251C" w:rsidP="00A7251C">
            <w:pPr>
              <w:pStyle w:val="RowHeading"/>
              <w:jc w:val="left"/>
            </w:pPr>
            <w:r>
              <w:t>Caring for Yourself</w:t>
            </w:r>
          </w:p>
        </w:tc>
        <w:tc>
          <w:tcPr>
            <w:tcW w:w="2160" w:type="dxa"/>
          </w:tcPr>
          <w:p w14:paraId="73F37B93" w14:textId="07B49078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Responding to changes in emotions and daily demands; taking care of personal needs; relying on personal abilities</w:t>
            </w:r>
          </w:p>
        </w:tc>
        <w:tc>
          <w:tcPr>
            <w:tcW w:w="2160" w:type="dxa"/>
          </w:tcPr>
          <w:p w14:paraId="5ED8AB24" w14:textId="351709DC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Recognizing bodily signals (e.g. hunger, pain, discomfort); consoling with thumb or hand sucking</w:t>
            </w:r>
          </w:p>
        </w:tc>
        <w:tc>
          <w:tcPr>
            <w:tcW w:w="2160" w:type="dxa"/>
          </w:tcPr>
          <w:p w14:paraId="392A5DEB" w14:textId="4FE21496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Increased ability to console self (e.g. carrying blanket); learning to cooperate with caregiver(s); showing what is wanted (e.g. pointing to the bathroom)</w:t>
            </w:r>
          </w:p>
        </w:tc>
        <w:tc>
          <w:tcPr>
            <w:tcW w:w="2160" w:type="dxa"/>
          </w:tcPr>
          <w:p w14:paraId="2961D20B" w14:textId="2F3CAC43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Desiring personal care; attempting new things (e.g. tying shoes, climbing chair)</w:t>
            </w:r>
          </w:p>
        </w:tc>
        <w:tc>
          <w:tcPr>
            <w:tcW w:w="2160" w:type="dxa"/>
          </w:tcPr>
          <w:p w14:paraId="28C3C963" w14:textId="37BDC6CD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Independence in most day-to-day self-care activities (dressing, etc.); developing </w:t>
            </w:r>
            <w:r w:rsidR="0028476A">
              <w:t xml:space="preserve">a </w:t>
            </w:r>
            <w:r>
              <w:t>sense of right and wrong; showing consistent control of self</w:t>
            </w:r>
          </w:p>
        </w:tc>
        <w:tc>
          <w:tcPr>
            <w:tcW w:w="2160" w:type="dxa"/>
          </w:tcPr>
          <w:p w14:paraId="7A11A930" w14:textId="0E73EF88" w:rsidR="00A7251C" w:rsidRPr="002E241A" w:rsidRDefault="00A7251C" w:rsidP="00B74D5F">
            <w:pPr>
              <w:pStyle w:val="DataCell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Feeling increasingly independent from others in all activities; noticing significant changes in bodily growth; discovering appropriate ways to express feelings, both good and bad; thinking seriously about </w:t>
            </w:r>
            <w:proofErr w:type="gramStart"/>
            <w:r>
              <w:t>future plans</w:t>
            </w:r>
            <w:proofErr w:type="gramEnd"/>
          </w:p>
        </w:tc>
      </w:tr>
      <w:tr w:rsidR="00B74D5F" w14:paraId="761AD800" w14:textId="77777777" w:rsidTr="004951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</w:tcPr>
          <w:p w14:paraId="1E72CC80" w14:textId="6098F75E" w:rsidR="00B74D5F" w:rsidRPr="002E241A" w:rsidRDefault="00B74D5F" w:rsidP="00B74D5F">
            <w:pPr>
              <w:pStyle w:val="RowHeading"/>
              <w:jc w:val="left"/>
            </w:pPr>
            <w:r>
              <w:t>Health and Physical Well-being</w:t>
            </w:r>
          </w:p>
        </w:tc>
        <w:tc>
          <w:tcPr>
            <w:tcW w:w="2160" w:type="dxa"/>
          </w:tcPr>
          <w:p w14:paraId="351BFF2D" w14:textId="592F4ECF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  <w:tc>
          <w:tcPr>
            <w:tcW w:w="2160" w:type="dxa"/>
          </w:tcPr>
          <w:p w14:paraId="0E192F6D" w14:textId="06EF4500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  <w:tc>
          <w:tcPr>
            <w:tcW w:w="2160" w:type="dxa"/>
          </w:tcPr>
          <w:p w14:paraId="773D2669" w14:textId="2436D6C3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  <w:tc>
          <w:tcPr>
            <w:tcW w:w="2160" w:type="dxa"/>
          </w:tcPr>
          <w:p w14:paraId="7FF784B9" w14:textId="66D9AE6F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  <w:tc>
          <w:tcPr>
            <w:tcW w:w="2160" w:type="dxa"/>
          </w:tcPr>
          <w:p w14:paraId="55ABB3B4" w14:textId="4805CFFC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  <w:tc>
          <w:tcPr>
            <w:tcW w:w="2160" w:type="dxa"/>
          </w:tcPr>
          <w:p w14:paraId="3719DC07" w14:textId="2208D376" w:rsidR="00B74D5F" w:rsidRPr="002E241A" w:rsidRDefault="00B74D5F" w:rsidP="00B74D5F">
            <w:pPr>
              <w:pStyle w:val="DataCell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Not age dependent</w:t>
            </w:r>
          </w:p>
        </w:tc>
      </w:tr>
    </w:tbl>
    <w:p w14:paraId="2E45AF22" w14:textId="456FE5A8" w:rsidR="00DA23EB" w:rsidRPr="008B5DBD" w:rsidRDefault="00DA23EB" w:rsidP="008B5DBD">
      <w:pPr>
        <w:tabs>
          <w:tab w:val="left" w:pos="1426"/>
        </w:tabs>
        <w:spacing w:before="0" w:after="0"/>
        <w:rPr>
          <w:sz w:val="2"/>
          <w:szCs w:val="2"/>
        </w:rPr>
      </w:pPr>
    </w:p>
    <w:sectPr w:rsidR="00DA23EB" w:rsidRPr="008B5DBD" w:rsidSect="00972A80">
      <w:headerReference w:type="default" r:id="rId12"/>
      <w:footerReference w:type="default" r:id="rId13"/>
      <w:headerReference w:type="first" r:id="rId14"/>
      <w:footerReference w:type="first" r:id="rId15"/>
      <w:pgSz w:w="15840" w:h="12240" w:orient="landscape"/>
      <w:pgMar w:top="864" w:right="864" w:bottom="864" w:left="864" w:header="72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65A3F" w14:textId="77777777" w:rsidR="00286D95" w:rsidRDefault="00286D95" w:rsidP="004E6D8E">
      <w:r>
        <w:separator/>
      </w:r>
    </w:p>
  </w:endnote>
  <w:endnote w:type="continuationSeparator" w:id="0">
    <w:p w14:paraId="40076BDB" w14:textId="77777777" w:rsidR="00286D95" w:rsidRDefault="00286D95" w:rsidP="004E6D8E">
      <w:r>
        <w:continuationSeparator/>
      </w:r>
    </w:p>
  </w:endnote>
  <w:endnote w:type="continuationNotice" w:id="1">
    <w:p w14:paraId="57A21452" w14:textId="77777777" w:rsidR="00286D95" w:rsidRDefault="00286D9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6F645" w14:textId="10C24866" w:rsidR="006B1297" w:rsidRPr="00D05767" w:rsidRDefault="00603CB6" w:rsidP="008B5DBD">
    <w:pPr>
      <w:pStyle w:val="Footer"/>
      <w:tabs>
        <w:tab w:val="left" w:pos="8610"/>
      </w:tabs>
      <w:spacing w:before="0" w:after="0"/>
      <w:jc w:val="center"/>
      <w:rPr>
        <w:rFonts w:cstheme="minorHAnsi"/>
        <w:noProof/>
      </w:rPr>
    </w:pPr>
    <w:r>
      <w:rPr>
        <w:rFonts w:cstheme="minorHAnsi"/>
        <w:noProof/>
      </w:rPr>
      <w:t>March 2025</w:t>
    </w:r>
    <w:r w:rsidR="008D063B">
      <w:rPr>
        <w:rFonts w:cstheme="minorHAnsi"/>
        <w:noProof/>
      </w:rPr>
      <w:t xml:space="preserve"> </w:t>
    </w:r>
    <w:r w:rsidR="00D05767">
      <w:rPr>
        <w:rFonts w:cstheme="minorHAnsi"/>
        <w:noProof/>
      </w:rPr>
      <w:t>|</w:t>
    </w:r>
    <w:r w:rsidR="00D05767" w:rsidRPr="003073C0">
      <w:rPr>
        <w:rFonts w:cstheme="minorHAnsi"/>
        <w:noProof/>
      </w:rPr>
      <w:t xml:space="preserve"> SSI/SSDI Outreach, Access</w:t>
    </w:r>
    <w:r w:rsidR="00396C90">
      <w:rPr>
        <w:rFonts w:cstheme="minorHAnsi"/>
        <w:noProof/>
      </w:rPr>
      <w:t>,</w:t>
    </w:r>
    <w:r w:rsidR="00D05767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66E7F" w14:textId="516929F3" w:rsidR="00EA44A3" w:rsidRPr="00EA44A3" w:rsidRDefault="00603CB6" w:rsidP="008B5DBD">
    <w:pPr>
      <w:pStyle w:val="Footer"/>
      <w:tabs>
        <w:tab w:val="left" w:pos="8610"/>
      </w:tabs>
      <w:spacing w:after="120"/>
      <w:jc w:val="center"/>
      <w:rPr>
        <w:rFonts w:cstheme="minorHAnsi"/>
        <w:noProof/>
      </w:rPr>
    </w:pPr>
    <w:r>
      <w:rPr>
        <w:rFonts w:cstheme="minorHAnsi"/>
        <w:noProof/>
      </w:rPr>
      <w:t>March 2025</w:t>
    </w:r>
    <w:r w:rsidR="00B06B77">
      <w:rPr>
        <w:rFonts w:cstheme="minorHAnsi"/>
        <w:noProof/>
      </w:rPr>
      <w:t xml:space="preserve"> </w:t>
    </w:r>
    <w:r w:rsidR="00EA44A3">
      <w:rPr>
        <w:rFonts w:cstheme="minorHAnsi"/>
        <w:noProof/>
      </w:rPr>
      <w:t>|</w:t>
    </w:r>
    <w:r w:rsidR="00EA44A3" w:rsidRPr="003073C0">
      <w:rPr>
        <w:rFonts w:cstheme="minorHAnsi"/>
        <w:noProof/>
      </w:rPr>
      <w:t xml:space="preserve"> SSI/SSDI Outreach, Access</w:t>
    </w:r>
    <w:r w:rsidR="00E103E2">
      <w:rPr>
        <w:rFonts w:cstheme="minorHAnsi"/>
        <w:noProof/>
      </w:rPr>
      <w:t>,</w:t>
    </w:r>
    <w:r w:rsidR="00EA44A3" w:rsidRPr="003073C0">
      <w:rPr>
        <w:rFonts w:cstheme="minorHAnsi"/>
        <w:noProof/>
      </w:rPr>
      <w:t xml:space="preserve"> and Recovery (SOAR) Technical Assistance Center</w:t>
    </w:r>
    <w:r w:rsidR="00D05767">
      <w:rPr>
        <w:rFonts w:cstheme="minorHAnsi"/>
        <w:noProof/>
      </w:rPr>
      <w:t xml:space="preserve"> | </w:t>
    </w:r>
    <w:r w:rsidR="00D05767" w:rsidRPr="00D05767">
      <w:rPr>
        <w:rFonts w:cstheme="minorHAnsi"/>
        <w:b/>
        <w:bCs/>
        <w:noProof/>
      </w:rPr>
      <w:fldChar w:fldCharType="begin"/>
    </w:r>
    <w:r w:rsidR="00D05767" w:rsidRPr="00D05767">
      <w:rPr>
        <w:rFonts w:cstheme="minorHAnsi"/>
        <w:b/>
        <w:bCs/>
        <w:noProof/>
      </w:rPr>
      <w:instrText xml:space="preserve"> PAGE   \* MERGEFORMAT </w:instrText>
    </w:r>
    <w:r w:rsidR="00D05767" w:rsidRPr="00D05767">
      <w:rPr>
        <w:rFonts w:cstheme="minorHAnsi"/>
        <w:b/>
        <w:bCs/>
        <w:noProof/>
      </w:rPr>
      <w:fldChar w:fldCharType="separate"/>
    </w:r>
    <w:r w:rsidR="00D05767" w:rsidRPr="00D05767">
      <w:rPr>
        <w:rFonts w:cstheme="minorHAnsi"/>
        <w:b/>
        <w:bCs/>
        <w:noProof/>
      </w:rPr>
      <w:t>1</w:t>
    </w:r>
    <w:r w:rsidR="00D05767" w:rsidRPr="00D05767">
      <w:rPr>
        <w:rFonts w:cstheme="minorHAnsi"/>
        <w:b/>
        <w:bCs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869DC" w14:textId="77777777" w:rsidR="00286D95" w:rsidRDefault="00286D95" w:rsidP="004E6D8E">
      <w:r>
        <w:separator/>
      </w:r>
    </w:p>
  </w:footnote>
  <w:footnote w:type="continuationSeparator" w:id="0">
    <w:p w14:paraId="74F3D593" w14:textId="77777777" w:rsidR="00286D95" w:rsidRDefault="00286D95" w:rsidP="004E6D8E">
      <w:r>
        <w:continuationSeparator/>
      </w:r>
    </w:p>
  </w:footnote>
  <w:footnote w:type="continuationNotice" w:id="1">
    <w:p w14:paraId="6C24F96E" w14:textId="77777777" w:rsidR="00286D95" w:rsidRDefault="00286D9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0A4C" w14:textId="06B056D1" w:rsidR="00BF6141" w:rsidRPr="00B25494" w:rsidRDefault="00B76490" w:rsidP="000D27E7">
    <w:pPr>
      <w:tabs>
        <w:tab w:val="left" w:pos="3990"/>
      </w:tabs>
      <w:rPr>
        <w:b/>
        <w:bCs/>
      </w:rPr>
    </w:pPr>
    <w:r>
      <w:rPr>
        <w:b/>
        <w:bCs/>
        <w:noProof/>
      </w:rPr>
      <w:drawing>
        <wp:anchor distT="0" distB="0" distL="114300" distR="114300" simplePos="0" relativeHeight="251658241" behindDoc="1" locked="0" layoutInCell="1" allowOverlap="1" wp14:anchorId="226517D1" wp14:editId="4345C74B">
          <wp:simplePos x="0" y="0"/>
          <wp:positionH relativeFrom="margin">
            <wp:posOffset>7482205</wp:posOffset>
          </wp:positionH>
          <wp:positionV relativeFrom="paragraph">
            <wp:posOffset>-310515</wp:posOffset>
          </wp:positionV>
          <wp:extent cx="1441450" cy="568960"/>
          <wp:effectExtent l="0" t="0" r="6350" b="2540"/>
          <wp:wrapTight wrapText="bothSides">
            <wp:wrapPolygon edited="0">
              <wp:start x="0" y="0"/>
              <wp:lineTo x="0" y="20973"/>
              <wp:lineTo x="21410" y="20973"/>
              <wp:lineTo x="21410" y="0"/>
              <wp:lineTo x="0" y="0"/>
            </wp:wrapPolygon>
          </wp:wrapTight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1450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23EB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50B781A4" wp14:editId="790DBAE7">
          <wp:simplePos x="0" y="0"/>
          <wp:positionH relativeFrom="column">
            <wp:posOffset>-366623</wp:posOffset>
          </wp:positionH>
          <wp:positionV relativeFrom="paragraph">
            <wp:posOffset>-272415</wp:posOffset>
          </wp:positionV>
          <wp:extent cx="1820174" cy="503076"/>
          <wp:effectExtent l="0" t="0" r="8890" b="0"/>
          <wp:wrapTight wrapText="bothSides">
            <wp:wrapPolygon edited="0">
              <wp:start x="904" y="0"/>
              <wp:lineTo x="0" y="3273"/>
              <wp:lineTo x="0" y="20455"/>
              <wp:lineTo x="1357" y="20455"/>
              <wp:lineTo x="1583" y="20455"/>
              <wp:lineTo x="2261" y="13909"/>
              <wp:lineTo x="21479" y="12273"/>
              <wp:lineTo x="21479" y="1636"/>
              <wp:lineTo x="8818" y="0"/>
              <wp:lineTo x="904" y="0"/>
            </wp:wrapPolygon>
          </wp:wrapTight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174" cy="5030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13841" w14:textId="68E7F64F" w:rsidR="00C72C8D" w:rsidRPr="00612AB7" w:rsidRDefault="00B76490" w:rsidP="00EC408E">
    <w:pPr>
      <w:pStyle w:val="Header"/>
      <w:tabs>
        <w:tab w:val="clear" w:pos="4680"/>
        <w:tab w:val="clear" w:pos="9360"/>
        <w:tab w:val="center" w:pos="5040"/>
        <w:tab w:val="left" w:pos="6345"/>
      </w:tabs>
      <w:jc w:val="right"/>
      <w:rPr>
        <w:sz w:val="12"/>
        <w:szCs w:val="12"/>
      </w:rPr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51F54146" wp14:editId="6E5DAED0">
              <wp:simplePos x="0" y="0"/>
              <wp:positionH relativeFrom="margin">
                <wp:posOffset>-977265</wp:posOffset>
              </wp:positionH>
              <wp:positionV relativeFrom="paragraph">
                <wp:posOffset>-619125</wp:posOffset>
              </wp:positionV>
              <wp:extent cx="10496550" cy="466344"/>
              <wp:effectExtent l="19050" t="19050" r="19050" b="1016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496550" cy="466344"/>
                      </a:xfrm>
                      <a:prstGeom prst="rect">
                        <a:avLst/>
                      </a:prstGeom>
                      <a:solidFill>
                        <a:srgbClr val="1E384B"/>
                      </a:solidFill>
                      <a:ln w="28575">
                        <a:solidFill>
                          <a:srgbClr val="FFC928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BAFD3A" id="Rectangle 1" o:spid="_x0000_s1026" alt="&quot;&quot;" style="position:absolute;margin-left:-76.95pt;margin-top:-48.75pt;width:826.5pt;height:36.7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" fillcolor="#1e384b" strokecolor="#ffc928" strokeweight="2.25pt">
              <w10:wrap anchorx="margin"/>
            </v:rect>
          </w:pict>
        </mc:Fallback>
      </mc:AlternateContent>
    </w:r>
    <w:r w:rsidR="002551F2">
      <w:rPr>
        <w:b/>
        <w:bCs/>
        <w:noProof/>
      </w:rPr>
      <w:drawing>
        <wp:anchor distT="0" distB="0" distL="114300" distR="114300" simplePos="0" relativeHeight="251658242" behindDoc="1" locked="0" layoutInCell="1" allowOverlap="1" wp14:anchorId="5644A77E" wp14:editId="3125ACD8">
          <wp:simplePos x="0" y="0"/>
          <wp:positionH relativeFrom="page">
            <wp:align>left</wp:align>
          </wp:positionH>
          <wp:positionV relativeFrom="paragraph">
            <wp:posOffset>-202019</wp:posOffset>
          </wp:positionV>
          <wp:extent cx="10067925" cy="952482"/>
          <wp:effectExtent l="0" t="0" r="0" b="635"/>
          <wp:wrapNone/>
          <wp:docPr id="4" name="Pictur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46703" cy="95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05AD">
      <w:rPr>
        <w:b/>
        <w:bCs/>
        <w:noProof/>
      </w:rPr>
      <w:drawing>
        <wp:inline distT="0" distB="0" distL="0" distR="0" wp14:anchorId="2FEA2359" wp14:editId="445AC84D">
          <wp:extent cx="1900268" cy="533348"/>
          <wp:effectExtent l="0" t="0" r="5080" b="635"/>
          <wp:docPr id="5" name="Picture 5" descr="SOAR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19" descr="SOARWorks log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6931" cy="535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E22E8" w:rsidRPr="00AD4F1B">
      <w:rPr>
        <w:sz w:val="12"/>
        <w:szCs w:val="12"/>
      </w:rPr>
      <w:ptab w:relativeTo="margin" w:alignment="center" w:leader="none"/>
    </w:r>
    <w:r w:rsidR="00BE22E8" w:rsidRPr="00AD4F1B">
      <w:rPr>
        <w:sz w:val="12"/>
        <w:szCs w:val="12"/>
      </w:rPr>
      <w:ptab w:relativeTo="margin" w:alignment="right" w:leader="none"/>
    </w:r>
    <w:r w:rsidR="007D63E1">
      <w:rPr>
        <w:b/>
        <w:bCs/>
        <w:noProof/>
      </w:rPr>
      <w:drawing>
        <wp:inline distT="0" distB="0" distL="0" distR="0" wp14:anchorId="69C309F0" wp14:editId="7A611F77">
          <wp:extent cx="1420877" cy="479425"/>
          <wp:effectExtent l="0" t="0" r="8255" b="0"/>
          <wp:docPr id="6" name="Picture 6" descr="Substance Abuse and Mental Health Services Administrati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Substance Abuse and Mental Health Services Administration logo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8169" cy="4886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633FD"/>
    <w:multiLevelType w:val="hybridMultilevel"/>
    <w:tmpl w:val="F3EC2C6C"/>
    <w:lvl w:ilvl="0" w:tplc="A74A2F4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CFE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888B8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3822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Y2NrM0szA2MjcwMDBX0lEKTi0uzszPAykwrgUAEzi+DCwAAAA="/>
  </w:docVars>
  <w:rsids>
    <w:rsidRoot w:val="00286D95"/>
    <w:rsid w:val="00002875"/>
    <w:rsid w:val="00012CC6"/>
    <w:rsid w:val="00013C06"/>
    <w:rsid w:val="000217D8"/>
    <w:rsid w:val="000228D7"/>
    <w:rsid w:val="00030F06"/>
    <w:rsid w:val="00034E0E"/>
    <w:rsid w:val="00036E1C"/>
    <w:rsid w:val="00054545"/>
    <w:rsid w:val="00094CCC"/>
    <w:rsid w:val="000D05A8"/>
    <w:rsid w:val="000D27E7"/>
    <w:rsid w:val="000D67CA"/>
    <w:rsid w:val="000E514B"/>
    <w:rsid w:val="000F76A3"/>
    <w:rsid w:val="00106FD3"/>
    <w:rsid w:val="001101C1"/>
    <w:rsid w:val="001223FF"/>
    <w:rsid w:val="00122540"/>
    <w:rsid w:val="00127D23"/>
    <w:rsid w:val="00147F37"/>
    <w:rsid w:val="00153FD4"/>
    <w:rsid w:val="0016613D"/>
    <w:rsid w:val="001739A7"/>
    <w:rsid w:val="00175557"/>
    <w:rsid w:val="00184015"/>
    <w:rsid w:val="001D06C6"/>
    <w:rsid w:val="001F02BC"/>
    <w:rsid w:val="0021345F"/>
    <w:rsid w:val="00254BBA"/>
    <w:rsid w:val="002551F2"/>
    <w:rsid w:val="00266EA6"/>
    <w:rsid w:val="00273EFE"/>
    <w:rsid w:val="0028473C"/>
    <w:rsid w:val="0028476A"/>
    <w:rsid w:val="00286D2C"/>
    <w:rsid w:val="00286D95"/>
    <w:rsid w:val="00293B7D"/>
    <w:rsid w:val="002B2068"/>
    <w:rsid w:val="002D6E71"/>
    <w:rsid w:val="002E23CC"/>
    <w:rsid w:val="002E3C33"/>
    <w:rsid w:val="002E67CE"/>
    <w:rsid w:val="00301CB0"/>
    <w:rsid w:val="00305D06"/>
    <w:rsid w:val="003073C0"/>
    <w:rsid w:val="0031023A"/>
    <w:rsid w:val="003248E1"/>
    <w:rsid w:val="0032680F"/>
    <w:rsid w:val="0033191D"/>
    <w:rsid w:val="003423B5"/>
    <w:rsid w:val="00342DE0"/>
    <w:rsid w:val="00344A81"/>
    <w:rsid w:val="00345CA6"/>
    <w:rsid w:val="00352E94"/>
    <w:rsid w:val="00383DE4"/>
    <w:rsid w:val="0038636C"/>
    <w:rsid w:val="00393E11"/>
    <w:rsid w:val="003963CF"/>
    <w:rsid w:val="00396C90"/>
    <w:rsid w:val="003972ED"/>
    <w:rsid w:val="003A138A"/>
    <w:rsid w:val="003A482B"/>
    <w:rsid w:val="003B067F"/>
    <w:rsid w:val="003B3F95"/>
    <w:rsid w:val="003B63A7"/>
    <w:rsid w:val="003C773A"/>
    <w:rsid w:val="003D29C2"/>
    <w:rsid w:val="003D5BC5"/>
    <w:rsid w:val="003E214F"/>
    <w:rsid w:val="004076E9"/>
    <w:rsid w:val="004116B9"/>
    <w:rsid w:val="00414C1F"/>
    <w:rsid w:val="00417DB2"/>
    <w:rsid w:val="004405AD"/>
    <w:rsid w:val="00443C1C"/>
    <w:rsid w:val="0044423E"/>
    <w:rsid w:val="004717D8"/>
    <w:rsid w:val="00483FAB"/>
    <w:rsid w:val="00493BCE"/>
    <w:rsid w:val="00495182"/>
    <w:rsid w:val="004A5188"/>
    <w:rsid w:val="004D3CB3"/>
    <w:rsid w:val="004E6D8E"/>
    <w:rsid w:val="004F1F87"/>
    <w:rsid w:val="005418D6"/>
    <w:rsid w:val="00543FBD"/>
    <w:rsid w:val="00545E0B"/>
    <w:rsid w:val="005500DA"/>
    <w:rsid w:val="0058761C"/>
    <w:rsid w:val="00594DFA"/>
    <w:rsid w:val="005B38A1"/>
    <w:rsid w:val="005C44D0"/>
    <w:rsid w:val="005D3ECD"/>
    <w:rsid w:val="00603CB6"/>
    <w:rsid w:val="00612AB7"/>
    <w:rsid w:val="006633DF"/>
    <w:rsid w:val="0067241E"/>
    <w:rsid w:val="00684E3D"/>
    <w:rsid w:val="00694022"/>
    <w:rsid w:val="006A37F8"/>
    <w:rsid w:val="006B1297"/>
    <w:rsid w:val="006B22DC"/>
    <w:rsid w:val="006B5750"/>
    <w:rsid w:val="006E3E6E"/>
    <w:rsid w:val="006F6786"/>
    <w:rsid w:val="00702F15"/>
    <w:rsid w:val="00713283"/>
    <w:rsid w:val="00756FC7"/>
    <w:rsid w:val="0077662C"/>
    <w:rsid w:val="00786955"/>
    <w:rsid w:val="00786A77"/>
    <w:rsid w:val="00792661"/>
    <w:rsid w:val="00797699"/>
    <w:rsid w:val="007D08F7"/>
    <w:rsid w:val="007D35D9"/>
    <w:rsid w:val="007D63E1"/>
    <w:rsid w:val="007E3046"/>
    <w:rsid w:val="007E6C4D"/>
    <w:rsid w:val="007E7681"/>
    <w:rsid w:val="007F17A8"/>
    <w:rsid w:val="00817210"/>
    <w:rsid w:val="0082264F"/>
    <w:rsid w:val="00825635"/>
    <w:rsid w:val="008317F7"/>
    <w:rsid w:val="00841771"/>
    <w:rsid w:val="0084639B"/>
    <w:rsid w:val="008475D3"/>
    <w:rsid w:val="00850308"/>
    <w:rsid w:val="00873AE6"/>
    <w:rsid w:val="00873C9B"/>
    <w:rsid w:val="00890D00"/>
    <w:rsid w:val="008959C4"/>
    <w:rsid w:val="00897DDB"/>
    <w:rsid w:val="008B5DBD"/>
    <w:rsid w:val="008C2DA3"/>
    <w:rsid w:val="008C4F30"/>
    <w:rsid w:val="008D063B"/>
    <w:rsid w:val="008F2ED9"/>
    <w:rsid w:val="00900F77"/>
    <w:rsid w:val="0091380F"/>
    <w:rsid w:val="00933997"/>
    <w:rsid w:val="00941B63"/>
    <w:rsid w:val="00972A80"/>
    <w:rsid w:val="009739B1"/>
    <w:rsid w:val="009827FF"/>
    <w:rsid w:val="009867F5"/>
    <w:rsid w:val="00987319"/>
    <w:rsid w:val="009A0C84"/>
    <w:rsid w:val="009A2C61"/>
    <w:rsid w:val="009A3BED"/>
    <w:rsid w:val="009A5E0C"/>
    <w:rsid w:val="009B7917"/>
    <w:rsid w:val="009C5377"/>
    <w:rsid w:val="009D6E15"/>
    <w:rsid w:val="009E48F0"/>
    <w:rsid w:val="009E4F47"/>
    <w:rsid w:val="009F068B"/>
    <w:rsid w:val="00A05626"/>
    <w:rsid w:val="00A165A9"/>
    <w:rsid w:val="00A168DF"/>
    <w:rsid w:val="00A209F5"/>
    <w:rsid w:val="00A27655"/>
    <w:rsid w:val="00A7251C"/>
    <w:rsid w:val="00A904B1"/>
    <w:rsid w:val="00A91AAA"/>
    <w:rsid w:val="00AA7BA6"/>
    <w:rsid w:val="00AB0729"/>
    <w:rsid w:val="00AC2709"/>
    <w:rsid w:val="00AC7980"/>
    <w:rsid w:val="00AD3F5D"/>
    <w:rsid w:val="00AD4F1B"/>
    <w:rsid w:val="00AD723A"/>
    <w:rsid w:val="00AF2F04"/>
    <w:rsid w:val="00B04283"/>
    <w:rsid w:val="00B06B77"/>
    <w:rsid w:val="00B17D28"/>
    <w:rsid w:val="00B25494"/>
    <w:rsid w:val="00B463E6"/>
    <w:rsid w:val="00B6010A"/>
    <w:rsid w:val="00B642DA"/>
    <w:rsid w:val="00B74D5F"/>
    <w:rsid w:val="00B76490"/>
    <w:rsid w:val="00B9341A"/>
    <w:rsid w:val="00BA0D26"/>
    <w:rsid w:val="00BA4D03"/>
    <w:rsid w:val="00BD4CB0"/>
    <w:rsid w:val="00BD670E"/>
    <w:rsid w:val="00BE22E8"/>
    <w:rsid w:val="00BF0791"/>
    <w:rsid w:val="00BF6141"/>
    <w:rsid w:val="00C057E2"/>
    <w:rsid w:val="00C1478F"/>
    <w:rsid w:val="00C23877"/>
    <w:rsid w:val="00C27734"/>
    <w:rsid w:val="00C34E62"/>
    <w:rsid w:val="00C72C8D"/>
    <w:rsid w:val="00C7495A"/>
    <w:rsid w:val="00C847C5"/>
    <w:rsid w:val="00C8526C"/>
    <w:rsid w:val="00C859A0"/>
    <w:rsid w:val="00CA642F"/>
    <w:rsid w:val="00CB37DD"/>
    <w:rsid w:val="00CC6ABB"/>
    <w:rsid w:val="00CE1C77"/>
    <w:rsid w:val="00CE7B40"/>
    <w:rsid w:val="00CF3624"/>
    <w:rsid w:val="00CF404E"/>
    <w:rsid w:val="00CF6656"/>
    <w:rsid w:val="00D05767"/>
    <w:rsid w:val="00D16958"/>
    <w:rsid w:val="00D27197"/>
    <w:rsid w:val="00D61420"/>
    <w:rsid w:val="00D65C27"/>
    <w:rsid w:val="00D66428"/>
    <w:rsid w:val="00D7241A"/>
    <w:rsid w:val="00D7479D"/>
    <w:rsid w:val="00D952BC"/>
    <w:rsid w:val="00D96868"/>
    <w:rsid w:val="00DA23EB"/>
    <w:rsid w:val="00DB2297"/>
    <w:rsid w:val="00DB4570"/>
    <w:rsid w:val="00DB6D9C"/>
    <w:rsid w:val="00DB7ECD"/>
    <w:rsid w:val="00DC44A4"/>
    <w:rsid w:val="00DC636A"/>
    <w:rsid w:val="00DD3142"/>
    <w:rsid w:val="00E103E2"/>
    <w:rsid w:val="00E12D9B"/>
    <w:rsid w:val="00E174BB"/>
    <w:rsid w:val="00E228D4"/>
    <w:rsid w:val="00E25992"/>
    <w:rsid w:val="00E34C0B"/>
    <w:rsid w:val="00E37AF4"/>
    <w:rsid w:val="00E52E49"/>
    <w:rsid w:val="00E704C9"/>
    <w:rsid w:val="00E71868"/>
    <w:rsid w:val="00E74419"/>
    <w:rsid w:val="00E76F89"/>
    <w:rsid w:val="00E80CAE"/>
    <w:rsid w:val="00E9409C"/>
    <w:rsid w:val="00EA42E3"/>
    <w:rsid w:val="00EA44A3"/>
    <w:rsid w:val="00EC0412"/>
    <w:rsid w:val="00EC3E89"/>
    <w:rsid w:val="00EC408E"/>
    <w:rsid w:val="00EC529C"/>
    <w:rsid w:val="00EC62D0"/>
    <w:rsid w:val="00EC6BCE"/>
    <w:rsid w:val="00ED24FF"/>
    <w:rsid w:val="00EE5843"/>
    <w:rsid w:val="00F2221E"/>
    <w:rsid w:val="00F6465A"/>
    <w:rsid w:val="00F74E8C"/>
    <w:rsid w:val="00F77445"/>
    <w:rsid w:val="00FB3787"/>
    <w:rsid w:val="00FC0372"/>
    <w:rsid w:val="00FC07F4"/>
    <w:rsid w:val="00FC17C7"/>
    <w:rsid w:val="00FC6BBE"/>
    <w:rsid w:val="00FD220F"/>
    <w:rsid w:val="00FD7109"/>
    <w:rsid w:val="1DECA517"/>
    <w:rsid w:val="32002D1E"/>
    <w:rsid w:val="404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332197"/>
  <w15:docId w15:val="{5A2D9539-19B7-4E0A-A22C-DA5E5033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D8E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A7BA6"/>
    <w:pPr>
      <w:spacing w:before="240" w:after="0"/>
      <w:jc w:val="center"/>
      <w:outlineLvl w:val="0"/>
    </w:pPr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Heading2">
    <w:name w:val="heading 2"/>
    <w:next w:val="Normal"/>
    <w:link w:val="Heading2Char"/>
    <w:uiPriority w:val="9"/>
    <w:unhideWhenUsed/>
    <w:qFormat/>
    <w:rsid w:val="00C23877"/>
    <w:pPr>
      <w:pBdr>
        <w:left w:val="single" w:sz="18" w:space="4" w:color="FFC000" w:themeColor="accent4"/>
      </w:pBdr>
      <w:spacing w:after="0"/>
      <w:outlineLvl w:val="1"/>
    </w:pPr>
    <w:rPr>
      <w:rFonts w:ascii="Tahoma" w:hAnsi="Tahoma" w:cs="Tahoma"/>
      <w:b/>
      <w:bCs/>
      <w:color w:val="1A6986"/>
      <w:spacing w:val="1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C23877"/>
    <w:pPr>
      <w:outlineLvl w:val="2"/>
    </w:pPr>
    <w:rPr>
      <w:rFonts w:ascii="Tahoma" w:hAnsi="Tahoma" w:cs="Tahoma"/>
      <w:b/>
      <w:bCs/>
      <w:color w:val="1E384B"/>
      <w:spacing w:val="15"/>
      <w:sz w:val="24"/>
      <w:szCs w:val="24"/>
    </w:rPr>
  </w:style>
  <w:style w:type="paragraph" w:styleId="Heading4">
    <w:name w:val="heading 4"/>
    <w:next w:val="Normal"/>
    <w:link w:val="Heading4Char"/>
    <w:uiPriority w:val="9"/>
    <w:unhideWhenUsed/>
    <w:qFormat/>
    <w:rsid w:val="00B04283"/>
    <w:pPr>
      <w:outlineLvl w:val="3"/>
    </w:pPr>
    <w:rPr>
      <w:rFonts w:ascii="Tahoma" w:hAnsi="Tahoma" w:cs="Tahoma"/>
      <w:color w:val="1E384B"/>
      <w:spacing w:val="1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63A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63A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63A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63A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63A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rsid w:val="002E23CC"/>
    <w:rPr>
      <w:rFonts w:ascii="Calibri" w:eastAsia="Calibri" w:hAnsi="Calibri"/>
    </w:rPr>
  </w:style>
  <w:style w:type="paragraph" w:customStyle="1" w:styleId="ColorfulList-Accent11">
    <w:name w:val="Colorful List - Accent 11"/>
    <w:basedOn w:val="Normal"/>
    <w:uiPriority w:val="34"/>
    <w:rsid w:val="002E23CC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2E23CC"/>
  </w:style>
  <w:style w:type="character" w:customStyle="1" w:styleId="CommentTextChar">
    <w:name w:val="Comment Text Char"/>
    <w:link w:val="CommentText"/>
    <w:uiPriority w:val="99"/>
    <w:semiHidden/>
    <w:rsid w:val="002E23CC"/>
    <w:rPr>
      <w:rFonts w:ascii="Calibri" w:eastAsia="Calibri" w:hAnsi="Calibri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E23C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E23CC"/>
    <w:rPr>
      <w:rFonts w:ascii="Calibri" w:eastAsia="Calibri" w:hAnsi="Calibri" w:cs="Times New Roman"/>
      <w:sz w:val="24"/>
    </w:rPr>
  </w:style>
  <w:style w:type="paragraph" w:styleId="Footer">
    <w:name w:val="footer"/>
    <w:basedOn w:val="Normal"/>
    <w:link w:val="FooterChar"/>
    <w:uiPriority w:val="99"/>
    <w:qFormat/>
    <w:rsid w:val="002E23C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E23CC"/>
    <w:rPr>
      <w:rFonts w:ascii="Calibri" w:eastAsia="Calibri" w:hAnsi="Calibri" w:cs="Times New Roman"/>
      <w:sz w:val="24"/>
    </w:rPr>
  </w:style>
  <w:style w:type="character" w:styleId="CommentReference">
    <w:name w:val="annotation reference"/>
    <w:uiPriority w:val="99"/>
    <w:semiHidden/>
    <w:unhideWhenUsed/>
    <w:rsid w:val="002E23CC"/>
    <w:rPr>
      <w:sz w:val="18"/>
      <w:szCs w:val="18"/>
    </w:rPr>
  </w:style>
  <w:style w:type="paragraph" w:customStyle="1" w:styleId="RowHeading">
    <w:name w:val="Row Heading"/>
    <w:qFormat/>
    <w:rsid w:val="0021345F"/>
    <w:pPr>
      <w:spacing w:before="0" w:after="0" w:line="240" w:lineRule="auto"/>
      <w:jc w:val="right"/>
    </w:pPr>
    <w:rPr>
      <w:rFonts w:ascii="Calibri" w:hAnsi="Calibri"/>
      <w:color w:val="1E384B"/>
      <w:sz w:val="22"/>
      <w:szCs w:val="22"/>
    </w:rPr>
  </w:style>
  <w:style w:type="paragraph" w:customStyle="1" w:styleId="ColumnHeading">
    <w:name w:val="Column Heading"/>
    <w:next w:val="DataCell"/>
    <w:qFormat/>
    <w:rsid w:val="0021345F"/>
    <w:pPr>
      <w:spacing w:before="0" w:after="0" w:line="240" w:lineRule="auto"/>
      <w:jc w:val="right"/>
    </w:pPr>
    <w:rPr>
      <w:rFonts w:ascii="Calibri" w:hAnsi="Calibri"/>
      <w:bCs/>
      <w:color w:val="FFFFFF" w:themeColor="background1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17DB2"/>
    <w:pPr>
      <w:spacing w:before="0" w:after="0" w:line="240" w:lineRule="auto"/>
      <w:jc w:val="center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17DB2"/>
    <w:rPr>
      <w:caps/>
      <w:color w:val="595959" w:themeColor="text1" w:themeTint="A6"/>
      <w:spacing w:val="10"/>
      <w:sz w:val="21"/>
      <w:szCs w:val="21"/>
    </w:rPr>
  </w:style>
  <w:style w:type="character" w:styleId="Hyperlink">
    <w:name w:val="Hyperlink"/>
    <w:uiPriority w:val="99"/>
    <w:unhideWhenUsed/>
    <w:rsid w:val="002E23CC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2E23CC"/>
    <w:rPr>
      <w:color w:val="954F72"/>
      <w:u w:val="single"/>
    </w:rPr>
  </w:style>
  <w:style w:type="character" w:styleId="Strong">
    <w:name w:val="Strong"/>
    <w:uiPriority w:val="22"/>
    <w:qFormat/>
    <w:rsid w:val="003B63A7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23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E23CC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23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23C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1AAA"/>
    <w:pPr>
      <w:numPr>
        <w:numId w:val="1"/>
      </w:numPr>
      <w:spacing w:before="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23877"/>
    <w:rPr>
      <w:rFonts w:ascii="Tahoma" w:hAnsi="Tahoma" w:cs="Tahoma"/>
      <w:b/>
      <w:bCs/>
      <w:color w:val="1A6986"/>
      <w:spacing w:val="15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AA7BA6"/>
    <w:rPr>
      <w:rFonts w:ascii="Tahoma" w:eastAsiaTheme="majorEastAsia" w:hAnsi="Tahoma" w:cs="Tahoma"/>
      <w:b/>
      <w:bCs/>
      <w:color w:val="1A6986"/>
      <w:spacing w:val="10"/>
      <w:sz w:val="32"/>
      <w:szCs w:val="3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1C1"/>
    <w:rPr>
      <w:rFonts w:ascii="Times New Roman" w:eastAsia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1C1"/>
    <w:rPr>
      <w:rFonts w:eastAsia="Times New Roman"/>
    </w:rPr>
  </w:style>
  <w:style w:type="character" w:styleId="FootnoteReference">
    <w:name w:val="footnote reference"/>
    <w:uiPriority w:val="99"/>
    <w:semiHidden/>
    <w:unhideWhenUsed/>
    <w:rsid w:val="001101C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C23877"/>
    <w:rPr>
      <w:rFonts w:ascii="Tahoma" w:hAnsi="Tahoma" w:cs="Tahoma"/>
      <w:b/>
      <w:bCs/>
      <w:color w:val="1E384B"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04283"/>
    <w:rPr>
      <w:rFonts w:ascii="Tahoma" w:hAnsi="Tahoma" w:cs="Tahoma"/>
      <w:color w:val="1E384B"/>
      <w:spacing w:val="1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63A7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63A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63A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B63A7"/>
    <w:rPr>
      <w:b/>
      <w:bCs/>
      <w:color w:val="2E74B5" w:themeColor="accent1" w:themeShade="BF"/>
      <w:sz w:val="16"/>
      <w:szCs w:val="16"/>
    </w:rPr>
  </w:style>
  <w:style w:type="character" w:styleId="Emphasis">
    <w:name w:val="Emphasis"/>
    <w:uiPriority w:val="20"/>
    <w:qFormat/>
    <w:rsid w:val="003B63A7"/>
    <w:rPr>
      <w:caps/>
      <w:color w:val="1F4D78" w:themeColor="accent1" w:themeShade="7F"/>
      <w:spacing w:val="5"/>
    </w:rPr>
  </w:style>
  <w:style w:type="paragraph" w:styleId="NoSpacing">
    <w:name w:val="No Spacing"/>
    <w:uiPriority w:val="1"/>
    <w:qFormat/>
    <w:rsid w:val="003B63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3B63A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3B63A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3A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63A7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3B63A7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3B63A7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3B63A7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3B63A7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3B63A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3A7"/>
    <w:pPr>
      <w:outlineLvl w:val="9"/>
    </w:pPr>
  </w:style>
  <w:style w:type="paragraph" w:customStyle="1" w:styleId="Abstract">
    <w:name w:val="Abstract"/>
    <w:basedOn w:val="Normal"/>
    <w:autoRedefine/>
    <w:qFormat/>
    <w:rsid w:val="00E34C0B"/>
    <w:pPr>
      <w:pBdr>
        <w:top w:val="single" w:sz="48" w:space="1" w:color="DFF2F9"/>
        <w:left w:val="single" w:sz="48" w:space="4" w:color="DFF2F9"/>
        <w:bottom w:val="single" w:sz="48" w:space="1" w:color="DFF2F9"/>
        <w:right w:val="single" w:sz="48" w:space="4" w:color="DFF2F9"/>
      </w:pBdr>
      <w:shd w:val="clear" w:color="auto" w:fill="DFF2F9"/>
      <w:spacing w:before="360" w:after="360"/>
    </w:pPr>
  </w:style>
  <w:style w:type="table" w:styleId="TableGrid">
    <w:name w:val="Table Grid"/>
    <w:basedOn w:val="TableNormal"/>
    <w:uiPriority w:val="59"/>
    <w:rsid w:val="00AC270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qFormat/>
    <w:rsid w:val="00B04283"/>
    <w:pPr>
      <w:jc w:val="center"/>
    </w:pPr>
    <w:rPr>
      <w:rFonts w:ascii="Tahoma" w:hAnsi="Tahoma" w:cs="Tahoma"/>
      <w:b/>
      <w:bCs/>
      <w:caps/>
      <w:color w:val="1A6986"/>
      <w:spacing w:val="15"/>
      <w:sz w:val="22"/>
      <w:szCs w:val="24"/>
    </w:rPr>
  </w:style>
  <w:style w:type="table" w:styleId="GridTable4-Accent1">
    <w:name w:val="Grid Table 4 Accent 1"/>
    <w:basedOn w:val="TableNormal"/>
    <w:uiPriority w:val="49"/>
    <w:rsid w:val="003B067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B067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1Light">
    <w:name w:val="List Table 1 Light"/>
    <w:basedOn w:val="TableNormal"/>
    <w:uiPriority w:val="46"/>
    <w:rsid w:val="00A168D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OARTableStyle1">
    <w:name w:val="SOAR Table Style 1"/>
    <w:basedOn w:val="TableNormal"/>
    <w:uiPriority w:val="99"/>
    <w:rsid w:val="00CF3624"/>
    <w:pPr>
      <w:spacing w:before="0" w:after="0" w:line="240" w:lineRule="auto"/>
    </w:pPr>
    <w:tblPr>
      <w:tblStyleRowBandSize w:val="1"/>
      <w:tblBorders>
        <w:top w:val="single" w:sz="4" w:space="0" w:color="D8F0F8"/>
        <w:left w:val="single" w:sz="4" w:space="0" w:color="D8F0F8"/>
        <w:bottom w:val="single" w:sz="4" w:space="0" w:color="D8F0F8"/>
        <w:right w:val="single" w:sz="4" w:space="0" w:color="D8F0F8"/>
        <w:insideH w:val="single" w:sz="4" w:space="0" w:color="D8F0F8"/>
        <w:insideV w:val="single" w:sz="4" w:space="0" w:color="D8F0F8"/>
      </w:tblBorders>
    </w:tblPr>
    <w:tcPr>
      <w:shd w:val="clear" w:color="auto" w:fill="auto"/>
    </w:tcPr>
    <w:tblStylePr w:type="firstRow">
      <w:rPr>
        <w:rFonts w:ascii="Calibri" w:hAnsi="Calibri"/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</w:tcBorders>
        <w:shd w:val="clear" w:color="auto" w:fill="1A6986"/>
      </w:tcPr>
    </w:tblStylePr>
    <w:tblStylePr w:type="firstCol">
      <w:rPr>
        <w:rFonts w:ascii="Calibri" w:hAnsi="Calibri"/>
        <w:b/>
        <w:i w:val="0"/>
        <w:color w:val="1A6986"/>
      </w:rPr>
    </w:tblStylePr>
    <w:tblStylePr w:type="band1Horz">
      <w:tblPr/>
      <w:tcPr>
        <w:shd w:val="clear" w:color="auto" w:fill="D8F0F8"/>
      </w:tcPr>
    </w:tblStylePr>
  </w:style>
  <w:style w:type="paragraph" w:customStyle="1" w:styleId="DataCell">
    <w:name w:val="Data Cell"/>
    <w:qFormat/>
    <w:rsid w:val="0021345F"/>
    <w:pPr>
      <w:spacing w:before="0" w:after="0" w:line="240" w:lineRule="auto"/>
      <w:jc w:val="right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551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sa.gov/OP_Home/cfr20/416/416-0926a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odergren\Policy%20Research%20Associates%20Inc\SOAR%20-%20Documents\Admin\SOAR%20Handout%20Template%2020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f1983df-aeaf-4222-b053-376ab4ecb4ed">
      <UserInfo>
        <DisplayName>Briela Tollisen</DisplayName>
        <AccountId>61</AccountId>
        <AccountType/>
      </UserInfo>
      <UserInfo>
        <DisplayName>Pam Heine</DisplayName>
        <AccountId>16</AccountId>
        <AccountType/>
      </UserInfo>
    </SharedWithUsers>
    <TaxCatchAll xmlns="df1983df-aeaf-4222-b053-376ab4ecb4ed" xsi:nil="true"/>
    <lcf76f155ced4ddcb4097134ff3c332f xmlns="7557eede-73b7-462b-a86f-b30f146a99f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289471CE8F84E8D778B17645D3CE1" ma:contentTypeVersion="19" ma:contentTypeDescription="Create a new document." ma:contentTypeScope="" ma:versionID="d86dfaab6098b01aaadcebc652c7a957">
  <xsd:schema xmlns:xsd="http://www.w3.org/2001/XMLSchema" xmlns:xs="http://www.w3.org/2001/XMLSchema" xmlns:p="http://schemas.microsoft.com/office/2006/metadata/properties" xmlns:ns2="7557eede-73b7-462b-a86f-b30f146a99f4" xmlns:ns3="df1983df-aeaf-4222-b053-376ab4ecb4ed" targetNamespace="http://schemas.microsoft.com/office/2006/metadata/properties" ma:root="true" ma:fieldsID="c58c876fac89ceb134571e969ee952a7" ns2:_="" ns3:_="">
    <xsd:import namespace="7557eede-73b7-462b-a86f-b30f146a99f4"/>
    <xsd:import namespace="df1983df-aeaf-4222-b053-376ab4ecb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7eede-73b7-462b-a86f-b30f146a9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d396fbf-84ae-4ccc-b0ee-2e7811a3b7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983df-aeaf-4222-b053-376ab4ecb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a83208-1c9d-48b0-beac-f484af9444f2}" ma:internalName="TaxCatchAll" ma:showField="CatchAllData" ma:web="df1983df-aeaf-4222-b053-376ab4ecb4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84FB67-3E25-4C62-B26B-336E77BAE4E8}">
  <ds:schemaRefs>
    <ds:schemaRef ds:uri="http://schemas.microsoft.com/office/2006/metadata/properties"/>
    <ds:schemaRef ds:uri="http://schemas.microsoft.com/office/infopath/2007/PartnerControls"/>
    <ds:schemaRef ds:uri="df1983df-aeaf-4222-b053-376ab4ecb4ed"/>
    <ds:schemaRef ds:uri="7557eede-73b7-462b-a86f-b30f146a99f4"/>
  </ds:schemaRefs>
</ds:datastoreItem>
</file>

<file path=customXml/itemProps2.xml><?xml version="1.0" encoding="utf-8"?>
<ds:datastoreItem xmlns:ds="http://schemas.openxmlformats.org/officeDocument/2006/customXml" ds:itemID="{C3AE710E-3E61-4E6F-92C3-C2CF5CC08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7eede-73b7-462b-a86f-b30f146a99f4"/>
    <ds:schemaRef ds:uri="df1983df-aeaf-4222-b053-376ab4ecb4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1C22B8-9133-47CC-A140-7481A87717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619B67-C879-4B4D-BBE1-2205A4AB65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SOAR Handout Template 2023.dotx</Template>
  <TotalTime>38</TotalTime>
  <Pages>2</Pages>
  <Words>674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Policy Research Associates, Inc.</Company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Suzy Sodergren</dc:creator>
  <cp:keywords>SSI; SSDI; Disability; Recovery</cp:keywords>
  <dc:description/>
  <cp:lastModifiedBy>Suzy Sodergren</cp:lastModifiedBy>
  <cp:revision>31</cp:revision>
  <dcterms:created xsi:type="dcterms:W3CDTF">2025-01-13T21:51:00Z</dcterms:created>
  <dcterms:modified xsi:type="dcterms:W3CDTF">2025-03-21T15:56:00Z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0x010100385289471CE8F84E8D778B17645D3CE1</vt:lpwstr>
  </property>
  <property fmtid="{D5CDD505-2E9C-101B-9397-08002B2CF9AE}" pid="3" name="GrammarlyDocumentId">
    <vt:lpwstr>712515504a2c1062f01e2265e99d2035595b6258b41f8dc5f9b066ee18793449</vt:lpwstr>
  </property>
  <property fmtid="{D5CDD505-2E9C-101B-9397-08002B2CF9AE}" pid="4" name="MediaServiceImageTags">
    <vt:lpwstr/>
  </property>
</Properties>
</file>